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1548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Combined Motor Holdings Limited</w:t>
      </w:r>
    </w:p>
    <w:p w14:paraId="27011DE2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(Incorporated in the Republic of South Africa)</w:t>
      </w:r>
    </w:p>
    <w:p w14:paraId="70E43FD0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(Registration number 1965/000270/06)</w:t>
      </w:r>
    </w:p>
    <w:p w14:paraId="7F711129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 xml:space="preserve">Share code: CMH     ISIN: </w:t>
      </w:r>
      <w:r w:rsidR="002C7631" w:rsidRPr="00E87BDA">
        <w:rPr>
          <w:rFonts w:ascii="Arial" w:hAnsi="Arial" w:cs="Arial"/>
          <w:color w:val="000000"/>
        </w:rPr>
        <w:t xml:space="preserve">ZAE000088050 </w:t>
      </w:r>
    </w:p>
    <w:p w14:paraId="2FAC42D0" w14:textId="77777777" w:rsidR="002C7631" w:rsidRDefault="002C7631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(“</w:t>
      </w:r>
      <w:r w:rsidR="008041E8" w:rsidRPr="00E87BDA">
        <w:rPr>
          <w:rFonts w:ascii="Arial" w:hAnsi="Arial" w:cs="Arial"/>
          <w:color w:val="000000"/>
        </w:rPr>
        <w:t>CMH”)</w:t>
      </w:r>
    </w:p>
    <w:p w14:paraId="17340BD3" w14:textId="77777777" w:rsidR="00182D3B" w:rsidRPr="00182D3B" w:rsidRDefault="00182D3B" w:rsidP="00182D3B">
      <w:pPr>
        <w:jc w:val="both"/>
        <w:rPr>
          <w:rFonts w:ascii="Arial" w:hAnsi="Arial" w:cs="Arial"/>
          <w:color w:val="000000"/>
          <w:sz w:val="20"/>
          <w:szCs w:val="20"/>
          <w:lang w:val="en-US" w:eastAsia="en-US"/>
        </w:rPr>
      </w:pPr>
      <w:r w:rsidRPr="00182D3B">
        <w:rPr>
          <w:rFonts w:ascii="Arial" w:hAnsi="Arial" w:cs="Arial"/>
          <w:color w:val="000000"/>
          <w:sz w:val="20"/>
          <w:szCs w:val="20"/>
        </w:rPr>
        <w:t>JSE main board: General Segment</w:t>
      </w:r>
    </w:p>
    <w:p w14:paraId="3BD52CD7" w14:textId="77777777" w:rsidR="00182D3B" w:rsidRPr="00E87BDA" w:rsidRDefault="00182D3B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7E8BF535" w14:textId="77777777" w:rsidR="000D28B7" w:rsidRPr="00E87BDA" w:rsidRDefault="000D28B7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5A4AF5AD" w14:textId="77777777" w:rsidR="00050986" w:rsidRPr="008F3045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b/>
          <w:bCs/>
          <w:color w:val="000000"/>
        </w:rPr>
      </w:pPr>
      <w:r w:rsidRPr="008F3045">
        <w:rPr>
          <w:rFonts w:ascii="Arial" w:hAnsi="Arial" w:cs="Arial"/>
          <w:b/>
          <w:bCs/>
          <w:color w:val="000000"/>
        </w:rPr>
        <w:t>TRADING STATEMENT</w:t>
      </w:r>
      <w:r w:rsidR="008B6FFF" w:rsidRPr="008F3045">
        <w:rPr>
          <w:rFonts w:ascii="Arial" w:hAnsi="Arial" w:cs="Arial"/>
          <w:b/>
          <w:bCs/>
          <w:color w:val="000000"/>
        </w:rPr>
        <w:t xml:space="preserve"> FOR THE </w:t>
      </w:r>
      <w:r w:rsidR="00754CD3" w:rsidRPr="008F3045">
        <w:rPr>
          <w:rFonts w:ascii="Arial" w:hAnsi="Arial" w:cs="Arial"/>
          <w:b/>
          <w:bCs/>
          <w:color w:val="000000"/>
        </w:rPr>
        <w:t xml:space="preserve">FINANCIAL </w:t>
      </w:r>
      <w:r w:rsidR="0010227C" w:rsidRPr="008F3045">
        <w:rPr>
          <w:rFonts w:ascii="Arial" w:hAnsi="Arial" w:cs="Arial"/>
          <w:b/>
          <w:bCs/>
          <w:color w:val="000000"/>
        </w:rPr>
        <w:t>YEAR ENDED 28 FEBRUARY 20</w:t>
      </w:r>
      <w:r w:rsidR="008F3045" w:rsidRPr="008F3045">
        <w:rPr>
          <w:rFonts w:ascii="Arial" w:hAnsi="Arial" w:cs="Arial"/>
          <w:b/>
          <w:bCs/>
          <w:color w:val="000000"/>
        </w:rPr>
        <w:t>2</w:t>
      </w:r>
      <w:r w:rsidR="00D3178A">
        <w:rPr>
          <w:rFonts w:ascii="Arial" w:hAnsi="Arial" w:cs="Arial"/>
          <w:b/>
          <w:bCs/>
          <w:color w:val="000000"/>
        </w:rPr>
        <w:t>6</w:t>
      </w:r>
    </w:p>
    <w:p w14:paraId="08BFDEC5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43D1D4C7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In terms of the Listings Requirements of the JSE Limited, a listed company is required to publish a trading statement as soon as it becomes aware that the</w:t>
      </w:r>
      <w:r w:rsidR="00491767" w:rsidRPr="00E87BDA">
        <w:rPr>
          <w:rFonts w:ascii="Arial" w:hAnsi="Arial" w:cs="Arial"/>
          <w:color w:val="000000"/>
        </w:rPr>
        <w:t xml:space="preserve"> </w:t>
      </w:r>
      <w:r w:rsidRPr="00E87BDA">
        <w:rPr>
          <w:rFonts w:ascii="Arial" w:hAnsi="Arial" w:cs="Arial"/>
          <w:color w:val="000000"/>
        </w:rPr>
        <w:t>financial results for the next period to be reported on will show a 20% or more difference from those of the previous corresponding period.</w:t>
      </w:r>
    </w:p>
    <w:p w14:paraId="63DCAC62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23CE207E" w14:textId="77777777" w:rsidR="000D28B7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CMH hereby advises that a reasonable degree of certainty exists that</w:t>
      </w:r>
      <w:r w:rsidR="002F3C29" w:rsidRPr="00E87BDA">
        <w:rPr>
          <w:rFonts w:ascii="Arial" w:hAnsi="Arial" w:cs="Arial"/>
          <w:color w:val="000000"/>
        </w:rPr>
        <w:t>,</w:t>
      </w:r>
      <w:r w:rsidRPr="00E87BDA">
        <w:rPr>
          <w:rFonts w:ascii="Arial" w:hAnsi="Arial" w:cs="Arial"/>
          <w:color w:val="000000"/>
        </w:rPr>
        <w:t xml:space="preserve"> for the </w:t>
      </w:r>
      <w:r w:rsidR="004B5F7F" w:rsidRPr="00E87BDA">
        <w:rPr>
          <w:rFonts w:ascii="Arial" w:hAnsi="Arial" w:cs="Arial"/>
          <w:color w:val="000000"/>
        </w:rPr>
        <w:t xml:space="preserve">year </w:t>
      </w:r>
      <w:r w:rsidR="00BE3ACD" w:rsidRPr="00E87BDA">
        <w:rPr>
          <w:rFonts w:ascii="Arial" w:hAnsi="Arial" w:cs="Arial"/>
          <w:color w:val="000000"/>
        </w:rPr>
        <w:t>ended</w:t>
      </w:r>
      <w:r w:rsidR="00A31568" w:rsidRPr="00E87BDA">
        <w:rPr>
          <w:rFonts w:ascii="Arial" w:hAnsi="Arial" w:cs="Arial"/>
          <w:color w:val="000000"/>
        </w:rPr>
        <w:t xml:space="preserve"> </w:t>
      </w:r>
      <w:r w:rsidR="0010227C" w:rsidRPr="00E87BDA">
        <w:rPr>
          <w:rFonts w:ascii="Arial" w:hAnsi="Arial" w:cs="Arial"/>
          <w:color w:val="000000"/>
        </w:rPr>
        <w:t>28 February 20</w:t>
      </w:r>
      <w:r w:rsidR="00E87BDA" w:rsidRPr="00E87BDA">
        <w:rPr>
          <w:rFonts w:ascii="Arial" w:hAnsi="Arial" w:cs="Arial"/>
          <w:color w:val="000000"/>
        </w:rPr>
        <w:t>2</w:t>
      </w:r>
      <w:r w:rsidR="00120616">
        <w:rPr>
          <w:rFonts w:ascii="Arial" w:hAnsi="Arial" w:cs="Arial"/>
          <w:color w:val="000000"/>
        </w:rPr>
        <w:t>6</w:t>
      </w:r>
      <w:r w:rsidR="000D28B7" w:rsidRPr="00E87BDA">
        <w:rPr>
          <w:rFonts w:ascii="Arial" w:hAnsi="Arial" w:cs="Arial"/>
          <w:color w:val="000000"/>
        </w:rPr>
        <w:t>:</w:t>
      </w:r>
      <w:r w:rsidR="003B65E1" w:rsidRPr="00E87BDA">
        <w:rPr>
          <w:rFonts w:ascii="Arial" w:hAnsi="Arial" w:cs="Arial"/>
          <w:color w:val="000000"/>
        </w:rPr>
        <w:t xml:space="preserve"> </w:t>
      </w:r>
    </w:p>
    <w:p w14:paraId="35C14309" w14:textId="77777777" w:rsidR="000D28B7" w:rsidRPr="00E87BDA" w:rsidRDefault="000D28B7" w:rsidP="008F3045">
      <w:pPr>
        <w:pStyle w:val="NormalWeb"/>
        <w:shd w:val="clear" w:color="auto" w:fill="FFFFFF"/>
        <w:tabs>
          <w:tab w:val="left" w:pos="426"/>
        </w:tabs>
        <w:spacing w:before="240" w:beforeAutospacing="0" w:after="240" w:afterAutospacing="0"/>
        <w:ind w:left="426" w:right="40" w:hanging="426"/>
        <w:contextualSpacing/>
        <w:rPr>
          <w:rFonts w:ascii="Arial" w:hAnsi="Arial" w:cs="Arial"/>
          <w:color w:val="000000"/>
          <w:sz w:val="20"/>
          <w:szCs w:val="20"/>
        </w:rPr>
      </w:pPr>
      <w:r w:rsidRPr="00E87BDA">
        <w:rPr>
          <w:rFonts w:ascii="Arial" w:hAnsi="Arial" w:cs="Arial"/>
          <w:color w:val="000000"/>
          <w:sz w:val="20"/>
          <w:szCs w:val="20"/>
        </w:rPr>
        <w:t xml:space="preserve">–  </w:t>
      </w:r>
      <w:r w:rsidR="00FF4529">
        <w:rPr>
          <w:rFonts w:ascii="Arial" w:hAnsi="Arial" w:cs="Arial"/>
          <w:color w:val="000000"/>
          <w:sz w:val="20"/>
          <w:szCs w:val="20"/>
        </w:rPr>
        <w:tab/>
      </w:r>
      <w:r w:rsidRPr="00E87BDA">
        <w:rPr>
          <w:rFonts w:ascii="Arial" w:hAnsi="Arial" w:cs="Arial"/>
          <w:color w:val="000000"/>
          <w:sz w:val="20"/>
          <w:szCs w:val="20"/>
        </w:rPr>
        <w:t>Headline earnings per share (“HEPS”) is ex</w:t>
      </w:r>
      <w:r w:rsidR="0010227C" w:rsidRPr="00E87BDA">
        <w:rPr>
          <w:rFonts w:ascii="Arial" w:hAnsi="Arial" w:cs="Arial"/>
          <w:color w:val="000000"/>
          <w:sz w:val="20"/>
          <w:szCs w:val="20"/>
        </w:rPr>
        <w:t xml:space="preserve">pected to </w:t>
      </w:r>
      <w:r w:rsidR="00120616">
        <w:rPr>
          <w:rFonts w:ascii="Arial" w:hAnsi="Arial" w:cs="Arial"/>
          <w:color w:val="000000"/>
          <w:sz w:val="20"/>
          <w:szCs w:val="20"/>
        </w:rPr>
        <w:t>increase</w:t>
      </w:r>
      <w:r w:rsidR="0010227C" w:rsidRPr="00E87BDA">
        <w:rPr>
          <w:rFonts w:ascii="Arial" w:hAnsi="Arial" w:cs="Arial"/>
          <w:color w:val="000000"/>
          <w:sz w:val="20"/>
          <w:szCs w:val="20"/>
        </w:rPr>
        <w:t xml:space="preserve"> by </w:t>
      </w:r>
      <w:r w:rsidR="0010227C" w:rsidRPr="007D6A59">
        <w:rPr>
          <w:rFonts w:ascii="Arial" w:hAnsi="Arial" w:cs="Arial"/>
          <w:color w:val="000000"/>
          <w:sz w:val="20"/>
          <w:szCs w:val="20"/>
        </w:rPr>
        <w:t xml:space="preserve">between </w:t>
      </w:r>
      <w:r w:rsidR="003F3B78" w:rsidRPr="007D6A59">
        <w:rPr>
          <w:rFonts w:ascii="Arial" w:hAnsi="Arial" w:cs="Arial"/>
          <w:color w:val="000000"/>
          <w:sz w:val="20"/>
          <w:szCs w:val="20"/>
        </w:rPr>
        <w:t>2</w:t>
      </w:r>
      <w:r w:rsidR="00120616" w:rsidRPr="007D6A59">
        <w:rPr>
          <w:rFonts w:ascii="Arial" w:hAnsi="Arial" w:cs="Arial"/>
          <w:color w:val="000000"/>
          <w:sz w:val="20"/>
          <w:szCs w:val="20"/>
        </w:rPr>
        <w:t>5</w:t>
      </w:r>
      <w:r w:rsidR="0010227C" w:rsidRPr="007D6A59">
        <w:rPr>
          <w:rFonts w:ascii="Arial" w:hAnsi="Arial" w:cs="Arial"/>
          <w:color w:val="000000"/>
          <w:sz w:val="20"/>
          <w:szCs w:val="20"/>
        </w:rPr>
        <w:t xml:space="preserve">% and </w:t>
      </w:r>
      <w:r w:rsidR="003F3B78" w:rsidRPr="007D6A59">
        <w:rPr>
          <w:rFonts w:ascii="Arial" w:hAnsi="Arial" w:cs="Arial"/>
          <w:color w:val="000000"/>
          <w:sz w:val="20"/>
          <w:szCs w:val="20"/>
        </w:rPr>
        <w:t>3</w:t>
      </w:r>
      <w:r w:rsidR="00120616" w:rsidRPr="007D6A59">
        <w:rPr>
          <w:rFonts w:ascii="Arial" w:hAnsi="Arial" w:cs="Arial"/>
          <w:color w:val="000000"/>
          <w:sz w:val="20"/>
          <w:szCs w:val="20"/>
        </w:rPr>
        <w:t>5</w:t>
      </w:r>
      <w:r w:rsidRPr="007D6A59">
        <w:rPr>
          <w:rFonts w:ascii="Arial" w:hAnsi="Arial" w:cs="Arial"/>
          <w:color w:val="000000"/>
          <w:sz w:val="20"/>
          <w:szCs w:val="20"/>
        </w:rPr>
        <w:t>%, resulting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in a HEPS of between </w:t>
      </w:r>
      <w:r w:rsidR="007D6A59">
        <w:rPr>
          <w:rFonts w:ascii="Arial" w:hAnsi="Arial" w:cs="Arial"/>
          <w:color w:val="000000"/>
          <w:sz w:val="20"/>
          <w:szCs w:val="20"/>
        </w:rPr>
        <w:t>504,0</w:t>
      </w:r>
      <w:r w:rsidR="0010227C" w:rsidRPr="00E87B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cents and </w:t>
      </w:r>
      <w:r w:rsidR="007D6A59">
        <w:rPr>
          <w:rFonts w:ascii="Arial" w:hAnsi="Arial" w:cs="Arial"/>
          <w:color w:val="000000"/>
          <w:sz w:val="20"/>
          <w:szCs w:val="20"/>
        </w:rPr>
        <w:t>544,3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cent</w:t>
      </w:r>
      <w:r w:rsidR="002F3C29" w:rsidRPr="00E87BDA">
        <w:rPr>
          <w:rFonts w:ascii="Arial" w:hAnsi="Arial" w:cs="Arial"/>
          <w:color w:val="000000"/>
          <w:sz w:val="20"/>
          <w:szCs w:val="20"/>
        </w:rPr>
        <w:t>s per share as compared with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</w:t>
      </w:r>
      <w:r w:rsidR="007D6A59">
        <w:rPr>
          <w:rFonts w:ascii="Arial" w:hAnsi="Arial" w:cs="Arial"/>
          <w:color w:val="000000"/>
          <w:sz w:val="20"/>
          <w:szCs w:val="20"/>
        </w:rPr>
        <w:t>403.2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cents per share for the comparative period; and </w:t>
      </w:r>
    </w:p>
    <w:p w14:paraId="52359220" w14:textId="542048F7" w:rsidR="008F3045" w:rsidRDefault="000D28B7" w:rsidP="008F3045">
      <w:pPr>
        <w:pStyle w:val="NormalWeb"/>
        <w:shd w:val="clear" w:color="auto" w:fill="FFFFFF"/>
        <w:tabs>
          <w:tab w:val="left" w:pos="426"/>
        </w:tabs>
        <w:spacing w:before="240" w:beforeAutospacing="0" w:after="240" w:afterAutospacing="0"/>
        <w:ind w:left="426" w:right="40" w:hanging="426"/>
        <w:contextualSpacing/>
        <w:rPr>
          <w:rFonts w:ascii="Arial" w:hAnsi="Arial" w:cs="Arial"/>
          <w:color w:val="000000"/>
          <w:sz w:val="20"/>
          <w:szCs w:val="20"/>
        </w:rPr>
      </w:pPr>
      <w:r w:rsidRPr="00E87BDA">
        <w:rPr>
          <w:rFonts w:ascii="Arial" w:hAnsi="Arial" w:cs="Arial"/>
          <w:color w:val="000000"/>
          <w:sz w:val="20"/>
          <w:szCs w:val="20"/>
        </w:rPr>
        <w:t xml:space="preserve">–  </w:t>
      </w:r>
      <w:r w:rsidR="00FF4529">
        <w:rPr>
          <w:rFonts w:ascii="Arial" w:hAnsi="Arial" w:cs="Arial"/>
          <w:color w:val="000000"/>
          <w:sz w:val="20"/>
          <w:szCs w:val="20"/>
        </w:rPr>
        <w:tab/>
      </w:r>
      <w:r w:rsidRPr="00E87BDA">
        <w:rPr>
          <w:rFonts w:ascii="Arial" w:hAnsi="Arial" w:cs="Arial"/>
          <w:color w:val="000000"/>
          <w:sz w:val="20"/>
          <w:szCs w:val="20"/>
        </w:rPr>
        <w:t xml:space="preserve">Earnings per share (“EPS”) is expected to </w:t>
      </w:r>
      <w:r w:rsidR="00120616">
        <w:rPr>
          <w:rFonts w:ascii="Arial" w:hAnsi="Arial" w:cs="Arial"/>
          <w:color w:val="000000"/>
          <w:sz w:val="20"/>
          <w:szCs w:val="20"/>
        </w:rPr>
        <w:t>increase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by between </w:t>
      </w:r>
      <w:r w:rsidR="003F3B78">
        <w:rPr>
          <w:rFonts w:ascii="Arial" w:hAnsi="Arial" w:cs="Arial"/>
          <w:color w:val="000000"/>
          <w:sz w:val="20"/>
          <w:szCs w:val="20"/>
        </w:rPr>
        <w:t>2</w:t>
      </w:r>
      <w:r w:rsidR="00120616">
        <w:rPr>
          <w:rFonts w:ascii="Arial" w:hAnsi="Arial" w:cs="Arial"/>
          <w:color w:val="000000"/>
          <w:sz w:val="20"/>
          <w:szCs w:val="20"/>
        </w:rPr>
        <w:t>5</w:t>
      </w:r>
      <w:r w:rsidR="0010227C" w:rsidRPr="00E87BDA">
        <w:rPr>
          <w:rFonts w:ascii="Arial" w:hAnsi="Arial" w:cs="Arial"/>
          <w:color w:val="000000"/>
          <w:sz w:val="20"/>
          <w:szCs w:val="20"/>
        </w:rPr>
        <w:t xml:space="preserve">% and </w:t>
      </w:r>
      <w:r w:rsidR="003F3B78">
        <w:rPr>
          <w:rFonts w:ascii="Arial" w:hAnsi="Arial" w:cs="Arial"/>
          <w:color w:val="000000"/>
          <w:sz w:val="20"/>
          <w:szCs w:val="20"/>
        </w:rPr>
        <w:t>3</w:t>
      </w:r>
      <w:r w:rsidR="00120616">
        <w:rPr>
          <w:rFonts w:ascii="Arial" w:hAnsi="Arial" w:cs="Arial"/>
          <w:color w:val="000000"/>
          <w:sz w:val="20"/>
          <w:szCs w:val="20"/>
        </w:rPr>
        <w:t>5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%, resulting in an EPS of between </w:t>
      </w:r>
      <w:r w:rsidR="00120616">
        <w:rPr>
          <w:rFonts w:ascii="Arial" w:hAnsi="Arial" w:cs="Arial"/>
          <w:color w:val="000000"/>
          <w:sz w:val="20"/>
          <w:szCs w:val="20"/>
        </w:rPr>
        <w:t>503</w:t>
      </w:r>
      <w:r w:rsidR="007D6A59">
        <w:rPr>
          <w:rFonts w:ascii="Arial" w:hAnsi="Arial" w:cs="Arial"/>
          <w:color w:val="000000"/>
          <w:sz w:val="20"/>
          <w:szCs w:val="20"/>
        </w:rPr>
        <w:t>,</w:t>
      </w:r>
      <w:r w:rsidR="00120616">
        <w:rPr>
          <w:rFonts w:ascii="Arial" w:hAnsi="Arial" w:cs="Arial"/>
          <w:color w:val="000000"/>
          <w:sz w:val="20"/>
          <w:szCs w:val="20"/>
        </w:rPr>
        <w:t>9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cents and </w:t>
      </w:r>
      <w:r w:rsidR="00120616">
        <w:rPr>
          <w:rFonts w:ascii="Arial" w:hAnsi="Arial" w:cs="Arial"/>
          <w:color w:val="000000"/>
          <w:sz w:val="20"/>
          <w:szCs w:val="20"/>
        </w:rPr>
        <w:t>544</w:t>
      </w:r>
      <w:r w:rsidR="007D6A59">
        <w:rPr>
          <w:rFonts w:ascii="Arial" w:hAnsi="Arial" w:cs="Arial"/>
          <w:color w:val="000000"/>
          <w:sz w:val="20"/>
          <w:szCs w:val="20"/>
        </w:rPr>
        <w:t>,</w:t>
      </w:r>
      <w:r w:rsidR="00242231">
        <w:rPr>
          <w:rFonts w:ascii="Arial" w:hAnsi="Arial" w:cs="Arial"/>
          <w:color w:val="000000"/>
          <w:sz w:val="20"/>
          <w:szCs w:val="20"/>
        </w:rPr>
        <w:t xml:space="preserve">2 </w:t>
      </w:r>
      <w:r w:rsidR="002F3C29" w:rsidRPr="00E87BDA">
        <w:rPr>
          <w:rFonts w:ascii="Arial" w:hAnsi="Arial" w:cs="Arial"/>
          <w:color w:val="000000"/>
          <w:sz w:val="20"/>
          <w:szCs w:val="20"/>
        </w:rPr>
        <w:t>cents per share as compared with</w:t>
      </w:r>
      <w:r w:rsidR="00120616">
        <w:rPr>
          <w:rFonts w:ascii="Arial" w:hAnsi="Arial" w:cs="Arial"/>
          <w:color w:val="000000"/>
          <w:sz w:val="20"/>
          <w:szCs w:val="20"/>
        </w:rPr>
        <w:t xml:space="preserve"> 403.1</w:t>
      </w:r>
      <w:r w:rsidRPr="00E87BDA">
        <w:rPr>
          <w:rFonts w:ascii="Arial" w:hAnsi="Arial" w:cs="Arial"/>
          <w:color w:val="000000"/>
          <w:sz w:val="20"/>
          <w:szCs w:val="20"/>
        </w:rPr>
        <w:t xml:space="preserve"> cents per share for the comparative period. </w:t>
      </w:r>
      <w:r w:rsidRPr="00E87BDA">
        <w:rPr>
          <w:rFonts w:ascii="Arial" w:hAnsi="Arial" w:cs="Arial"/>
          <w:color w:val="000000"/>
          <w:sz w:val="20"/>
          <w:szCs w:val="20"/>
        </w:rPr>
        <w:br/>
      </w:r>
    </w:p>
    <w:p w14:paraId="6C33B801" w14:textId="77777777" w:rsidR="00050986" w:rsidRPr="008F3045" w:rsidRDefault="00050986" w:rsidP="008F3045">
      <w:pPr>
        <w:pStyle w:val="NormalWeb"/>
        <w:shd w:val="clear" w:color="auto" w:fill="FFFFFF"/>
        <w:spacing w:before="240" w:beforeAutospacing="0" w:after="240" w:afterAutospacing="0"/>
        <w:ind w:right="40"/>
        <w:contextualSpacing/>
        <w:rPr>
          <w:rFonts w:ascii="Arial" w:hAnsi="Arial" w:cs="Arial"/>
          <w:color w:val="000000"/>
          <w:sz w:val="20"/>
          <w:szCs w:val="20"/>
        </w:rPr>
      </w:pPr>
      <w:r w:rsidRPr="008F3045">
        <w:rPr>
          <w:rFonts w:ascii="Arial" w:hAnsi="Arial" w:cs="Arial"/>
          <w:color w:val="000000"/>
          <w:sz w:val="20"/>
          <w:szCs w:val="20"/>
        </w:rPr>
        <w:t xml:space="preserve">This financial information has not been reviewed and reported on by the auditors of CMH. The results for the </w:t>
      </w:r>
      <w:r w:rsidR="004B5F7F" w:rsidRPr="008F3045">
        <w:rPr>
          <w:rFonts w:ascii="Arial" w:hAnsi="Arial" w:cs="Arial"/>
          <w:color w:val="000000"/>
          <w:sz w:val="20"/>
          <w:szCs w:val="20"/>
        </w:rPr>
        <w:t>year</w:t>
      </w:r>
      <w:r w:rsidR="008F3045" w:rsidRPr="008F3045">
        <w:rPr>
          <w:rFonts w:ascii="Arial" w:hAnsi="Arial" w:cs="Arial"/>
          <w:color w:val="000000"/>
          <w:sz w:val="20"/>
          <w:szCs w:val="20"/>
        </w:rPr>
        <w:t xml:space="preserve"> </w:t>
      </w:r>
      <w:r w:rsidR="00BE3ACD" w:rsidRPr="008F3045">
        <w:rPr>
          <w:rFonts w:ascii="Arial" w:hAnsi="Arial" w:cs="Arial"/>
          <w:color w:val="000000"/>
          <w:sz w:val="20"/>
          <w:szCs w:val="20"/>
        </w:rPr>
        <w:t>ended</w:t>
      </w:r>
      <w:r w:rsidR="000D28B7" w:rsidRPr="008F3045">
        <w:rPr>
          <w:rFonts w:ascii="Arial" w:hAnsi="Arial" w:cs="Arial"/>
          <w:color w:val="000000"/>
          <w:sz w:val="20"/>
          <w:szCs w:val="20"/>
        </w:rPr>
        <w:t xml:space="preserve"> </w:t>
      </w:r>
      <w:r w:rsidR="0010227C" w:rsidRPr="008F3045">
        <w:rPr>
          <w:rFonts w:ascii="Arial" w:hAnsi="Arial" w:cs="Arial"/>
          <w:color w:val="000000"/>
          <w:sz w:val="20"/>
          <w:szCs w:val="20"/>
        </w:rPr>
        <w:t>28 February 20</w:t>
      </w:r>
      <w:r w:rsidR="00FF4529" w:rsidRPr="008F3045">
        <w:rPr>
          <w:rFonts w:ascii="Arial" w:hAnsi="Arial" w:cs="Arial"/>
          <w:color w:val="000000"/>
          <w:sz w:val="20"/>
          <w:szCs w:val="20"/>
        </w:rPr>
        <w:t>2</w:t>
      </w:r>
      <w:r w:rsidR="00120616">
        <w:rPr>
          <w:rFonts w:ascii="Arial" w:hAnsi="Arial" w:cs="Arial"/>
          <w:color w:val="000000"/>
          <w:sz w:val="20"/>
          <w:szCs w:val="20"/>
        </w:rPr>
        <w:t>6</w:t>
      </w:r>
      <w:r w:rsidR="003C137B" w:rsidRPr="008F30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F3045">
        <w:rPr>
          <w:rFonts w:ascii="Arial" w:hAnsi="Arial" w:cs="Arial"/>
          <w:color w:val="000000"/>
          <w:sz w:val="20"/>
          <w:szCs w:val="20"/>
        </w:rPr>
        <w:t>are expected to be</w:t>
      </w:r>
      <w:r w:rsidR="004B5F7F" w:rsidRPr="008F30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F3045">
        <w:rPr>
          <w:rFonts w:ascii="Arial" w:hAnsi="Arial" w:cs="Arial"/>
          <w:color w:val="000000"/>
          <w:sz w:val="20"/>
          <w:szCs w:val="20"/>
        </w:rPr>
        <w:t xml:space="preserve">published on or about </w:t>
      </w:r>
      <w:r w:rsidR="00580C57">
        <w:rPr>
          <w:rFonts w:ascii="Arial" w:hAnsi="Arial" w:cs="Arial"/>
          <w:color w:val="000000"/>
          <w:sz w:val="20"/>
          <w:szCs w:val="20"/>
        </w:rPr>
        <w:t>2</w:t>
      </w:r>
      <w:r w:rsidR="00120616">
        <w:rPr>
          <w:rFonts w:ascii="Arial" w:hAnsi="Arial" w:cs="Arial"/>
          <w:color w:val="000000"/>
          <w:sz w:val="20"/>
          <w:szCs w:val="20"/>
        </w:rPr>
        <w:t>8</w:t>
      </w:r>
      <w:r w:rsidR="00580C57">
        <w:rPr>
          <w:rFonts w:ascii="Arial" w:hAnsi="Arial" w:cs="Arial"/>
          <w:color w:val="000000"/>
          <w:sz w:val="20"/>
          <w:szCs w:val="20"/>
        </w:rPr>
        <w:t xml:space="preserve"> April 202</w:t>
      </w:r>
      <w:r w:rsidR="00120616">
        <w:rPr>
          <w:rFonts w:ascii="Arial" w:hAnsi="Arial" w:cs="Arial"/>
          <w:color w:val="000000"/>
          <w:sz w:val="20"/>
          <w:szCs w:val="20"/>
        </w:rPr>
        <w:t>6</w:t>
      </w:r>
      <w:r w:rsidRPr="008F3045">
        <w:rPr>
          <w:rFonts w:ascii="Arial" w:hAnsi="Arial" w:cs="Arial"/>
          <w:color w:val="000000"/>
          <w:sz w:val="20"/>
          <w:szCs w:val="20"/>
        </w:rPr>
        <w:t>.</w:t>
      </w:r>
    </w:p>
    <w:p w14:paraId="1726EB29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4B1853D8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Durban</w:t>
      </w:r>
    </w:p>
    <w:p w14:paraId="7F555809" w14:textId="77777777" w:rsidR="00050986" w:rsidRPr="00E87BDA" w:rsidRDefault="00D3178A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5F7864">
        <w:rPr>
          <w:rFonts w:ascii="Arial" w:hAnsi="Arial" w:cs="Arial"/>
          <w:color w:val="000000"/>
        </w:rPr>
        <w:t xml:space="preserve"> April</w:t>
      </w:r>
      <w:r w:rsidR="00580C57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6</w:t>
      </w:r>
    </w:p>
    <w:p w14:paraId="081F57EB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</w:p>
    <w:p w14:paraId="357C9595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Sponsor</w:t>
      </w:r>
    </w:p>
    <w:p w14:paraId="07834C59" w14:textId="77777777" w:rsidR="00050986" w:rsidRPr="00E87BDA" w:rsidRDefault="00050986" w:rsidP="008F3045">
      <w:pPr>
        <w:pStyle w:val="HTMLPreformatted"/>
        <w:tabs>
          <w:tab w:val="clear" w:pos="8244"/>
        </w:tabs>
        <w:ind w:right="42"/>
        <w:contextualSpacing/>
        <w:rPr>
          <w:rFonts w:ascii="Arial" w:hAnsi="Arial" w:cs="Arial"/>
          <w:color w:val="000000"/>
        </w:rPr>
      </w:pPr>
      <w:r w:rsidRPr="00E87BDA">
        <w:rPr>
          <w:rFonts w:ascii="Arial" w:hAnsi="Arial" w:cs="Arial"/>
          <w:color w:val="000000"/>
        </w:rPr>
        <w:t>PricewaterhouseCoopers Corporate Finance (Pty) Ltd</w:t>
      </w:r>
    </w:p>
    <w:p w14:paraId="5314B64B" w14:textId="77777777" w:rsidR="00C64FCC" w:rsidRPr="00E87BDA" w:rsidRDefault="00C64FCC" w:rsidP="008F3045">
      <w:pPr>
        <w:ind w:right="42"/>
        <w:contextualSpacing/>
        <w:rPr>
          <w:rFonts w:ascii="Arial" w:hAnsi="Arial" w:cs="Arial"/>
          <w:sz w:val="20"/>
          <w:szCs w:val="20"/>
        </w:rPr>
      </w:pPr>
    </w:p>
    <w:sectPr w:rsidR="00C64FCC" w:rsidRPr="00E87BDA" w:rsidSect="00E87BDA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CEF"/>
    <w:rsid w:val="00050986"/>
    <w:rsid w:val="000856D1"/>
    <w:rsid w:val="000D28B7"/>
    <w:rsid w:val="0010227C"/>
    <w:rsid w:val="00120616"/>
    <w:rsid w:val="00182D3B"/>
    <w:rsid w:val="001B7A0B"/>
    <w:rsid w:val="00242231"/>
    <w:rsid w:val="00284329"/>
    <w:rsid w:val="002B70A1"/>
    <w:rsid w:val="002C7631"/>
    <w:rsid w:val="002F3C29"/>
    <w:rsid w:val="00357765"/>
    <w:rsid w:val="003B65E1"/>
    <w:rsid w:val="003C137B"/>
    <w:rsid w:val="003F3B78"/>
    <w:rsid w:val="00481923"/>
    <w:rsid w:val="00491767"/>
    <w:rsid w:val="004B5F7F"/>
    <w:rsid w:val="00506D86"/>
    <w:rsid w:val="00515843"/>
    <w:rsid w:val="005315E1"/>
    <w:rsid w:val="00580C57"/>
    <w:rsid w:val="005A4CEF"/>
    <w:rsid w:val="005F7864"/>
    <w:rsid w:val="006617C7"/>
    <w:rsid w:val="00754CD3"/>
    <w:rsid w:val="00777061"/>
    <w:rsid w:val="007D6A59"/>
    <w:rsid w:val="008041E8"/>
    <w:rsid w:val="00825C35"/>
    <w:rsid w:val="008B6FFF"/>
    <w:rsid w:val="008F3045"/>
    <w:rsid w:val="00911E36"/>
    <w:rsid w:val="0091722D"/>
    <w:rsid w:val="00982393"/>
    <w:rsid w:val="00984849"/>
    <w:rsid w:val="00A31568"/>
    <w:rsid w:val="00A33EC8"/>
    <w:rsid w:val="00A834C9"/>
    <w:rsid w:val="00A90452"/>
    <w:rsid w:val="00AD26D2"/>
    <w:rsid w:val="00B95D5F"/>
    <w:rsid w:val="00BB6F38"/>
    <w:rsid w:val="00BE3ACD"/>
    <w:rsid w:val="00C550D4"/>
    <w:rsid w:val="00C64FCC"/>
    <w:rsid w:val="00D3178A"/>
    <w:rsid w:val="00D64992"/>
    <w:rsid w:val="00D77233"/>
    <w:rsid w:val="00D8119F"/>
    <w:rsid w:val="00E87BDA"/>
    <w:rsid w:val="00E917A0"/>
    <w:rsid w:val="00EC2087"/>
    <w:rsid w:val="00FA4480"/>
    <w:rsid w:val="00FF4529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F0ADF"/>
  <w15:chartTrackingRefBased/>
  <w15:docId w15:val="{19ED38C1-2770-4FA8-8408-B1947417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50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AD26D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uiPriority w:val="99"/>
    <w:rsid w:val="000D28B7"/>
    <w:rPr>
      <w:rFonts w:ascii="Courier New" w:hAnsi="Courier New" w:cs="Courier New"/>
      <w:lang w:val="en-GB" w:eastAsia="en-GB"/>
    </w:rPr>
  </w:style>
  <w:style w:type="paragraph" w:styleId="NormalWeb">
    <w:name w:val="Normal (Web)"/>
    <w:basedOn w:val="Normal"/>
    <w:uiPriority w:val="99"/>
    <w:unhideWhenUsed/>
    <w:rsid w:val="000D28B7"/>
    <w:pPr>
      <w:spacing w:before="100" w:beforeAutospacing="1" w:after="100" w:afterAutospacing="1"/>
    </w:pPr>
    <w:rPr>
      <w:lang w:val="en-ZA" w:eastAsia="en-ZA"/>
    </w:rPr>
  </w:style>
  <w:style w:type="paragraph" w:styleId="Revision">
    <w:name w:val="Revision"/>
    <w:hidden/>
    <w:uiPriority w:val="99"/>
    <w:semiHidden/>
    <w:rsid w:val="00182D3B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045e7-ab60-462a-81f4-961ac153d2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76C882E13142A3FF9A8339AD558D" ma:contentTypeVersion="9" ma:contentTypeDescription="Create a new document." ma:contentTypeScope="" ma:versionID="f5d847a308944502c254777162616630">
  <xsd:schema xmlns:xsd="http://www.w3.org/2001/XMLSchema" xmlns:xs="http://www.w3.org/2001/XMLSchema" xmlns:p="http://schemas.microsoft.com/office/2006/metadata/properties" xmlns:ns2="778045e7-ab60-462a-81f4-961ac153d2d8" targetNamespace="http://schemas.microsoft.com/office/2006/metadata/properties" ma:root="true" ma:fieldsID="a28557bdcc78c163b7b890f630001fed" ns2:_="">
    <xsd:import namespace="778045e7-ab60-462a-81f4-961ac15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045e7-ab60-462a-81f4-961ac15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2CE9C-1E98-40C7-8F98-27064FF8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DE0E8-BB01-46B8-9111-87AEEAAFF0AB}">
  <ds:schemaRefs>
    <ds:schemaRef ds:uri="http://schemas.microsoft.com/office/2006/metadata/properties"/>
    <ds:schemaRef ds:uri="http://schemas.microsoft.com/office/infopath/2007/PartnerControls"/>
    <ds:schemaRef ds:uri="778045e7-ab60-462a-81f4-961ac153d2d8"/>
  </ds:schemaRefs>
</ds:datastoreItem>
</file>

<file path=customXml/itemProps3.xml><?xml version="1.0" encoding="utf-8"?>
<ds:datastoreItem xmlns:ds="http://schemas.openxmlformats.org/officeDocument/2006/customXml" ds:itemID="{E1B7C19E-93BB-460E-8C45-A2ED8599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045e7-ab60-462a-81f4-961ac15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1160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Motor Holdings Limited</vt:lpstr>
    </vt:vector>
  </TitlesOfParts>
  <Company>PricewaterhouseCoopers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Motor Holdings Limited</dc:title>
  <dc:subject/>
  <dc:creator>tbotha008</dc:creator>
  <cp:keywords/>
  <cp:lastModifiedBy>Priya Govind</cp:lastModifiedBy>
  <cp:revision>7</cp:revision>
  <cp:lastPrinted>2025-03-27T12:55:00Z</cp:lastPrinted>
  <dcterms:created xsi:type="dcterms:W3CDTF">2026-04-07T10:29:00Z</dcterms:created>
  <dcterms:modified xsi:type="dcterms:W3CDTF">2026-04-07T10:44:00Z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0x0101006B3A76C882E13142A3FF9A8339AD558D</vt:lpwstr>
  </property>
</Properties>
</file>